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E1D3C5">
      <w:pPr>
        <w:widowControl/>
        <w:jc w:val="center"/>
        <w:rPr>
          <w:rFonts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全国行业好新闻大赛报纸新闻版面参评作品推荐表</w:t>
      </w:r>
    </w:p>
    <w:tbl>
      <w:tblPr>
        <w:tblStyle w:val="5"/>
        <w:tblpPr w:leftFromText="180" w:rightFromText="180" w:vertAnchor="page" w:horzAnchor="page" w:tblpXSpec="center" w:tblpY="2596"/>
        <w:tblOverlap w:val="never"/>
        <w:tblW w:w="97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1560"/>
        <w:gridCol w:w="1141"/>
        <w:gridCol w:w="1644"/>
        <w:gridCol w:w="617"/>
        <w:gridCol w:w="1161"/>
        <w:gridCol w:w="1945"/>
      </w:tblGrid>
      <w:tr w14:paraId="1CE3D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38" w:hRule="atLeast"/>
          <w:jc w:val="center"/>
        </w:trPr>
        <w:tc>
          <w:tcPr>
            <w:tcW w:w="1696" w:type="dxa"/>
            <w:vAlign w:val="center"/>
          </w:tcPr>
          <w:p w14:paraId="30D2CBB0">
            <w:pPr>
              <w:jc w:val="center"/>
              <w:rPr>
                <w:rFonts w:ascii="仿宋" w:hAnsi="仿宋" w:eastAsia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报纸名称</w:t>
            </w:r>
          </w:p>
        </w:tc>
        <w:tc>
          <w:tcPr>
            <w:tcW w:w="2701" w:type="dxa"/>
            <w:gridSpan w:val="2"/>
            <w:vAlign w:val="center"/>
          </w:tcPr>
          <w:p w14:paraId="5F746DDA">
            <w:pPr>
              <w:jc w:val="center"/>
              <w:rPr>
                <w:rFonts w:ascii="仿宋" w:hAnsi="仿宋" w:eastAsia="仿宋"/>
                <w:kern w:val="0"/>
                <w:sz w:val="2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 w:val="20"/>
                <w:szCs w:val="21"/>
              </w:rPr>
              <w:t>中国中学生报</w:t>
            </w:r>
          </w:p>
        </w:tc>
        <w:tc>
          <w:tcPr>
            <w:tcW w:w="1644" w:type="dxa"/>
            <w:vAlign w:val="center"/>
          </w:tcPr>
          <w:p w14:paraId="4B950652">
            <w:pPr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参评项目</w:t>
            </w:r>
          </w:p>
        </w:tc>
        <w:tc>
          <w:tcPr>
            <w:tcW w:w="3723" w:type="dxa"/>
            <w:gridSpan w:val="3"/>
            <w:vAlign w:val="center"/>
          </w:tcPr>
          <w:p w14:paraId="5AC33492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 w:ascii="仿宋" w:hAnsi="仿宋" w:eastAsia="仿宋"/>
                <w:kern w:val="0"/>
                <w:sz w:val="20"/>
                <w:szCs w:val="21"/>
              </w:rPr>
              <w:t>新闻版面</w:t>
            </w:r>
          </w:p>
        </w:tc>
      </w:tr>
      <w:tr w14:paraId="56ED4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1696" w:type="dxa"/>
            <w:vAlign w:val="center"/>
          </w:tcPr>
          <w:p w14:paraId="7A13EBD0">
            <w:pPr>
              <w:spacing w:line="300" w:lineRule="exact"/>
              <w:jc w:val="center"/>
              <w:rPr>
                <w:rFonts w:ascii="仿宋" w:hAnsi="仿宋" w:eastAsia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版面名称</w:t>
            </w:r>
          </w:p>
          <w:p w14:paraId="53ED89FD">
            <w:pPr>
              <w:spacing w:line="300" w:lineRule="exact"/>
              <w:jc w:val="center"/>
              <w:rPr>
                <w:rFonts w:ascii="仿宋" w:hAnsi="仿宋" w:eastAsia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及版次</w:t>
            </w:r>
          </w:p>
        </w:tc>
        <w:tc>
          <w:tcPr>
            <w:tcW w:w="2701" w:type="dxa"/>
            <w:gridSpan w:val="2"/>
            <w:vAlign w:val="center"/>
          </w:tcPr>
          <w:p w14:paraId="0F489D96">
            <w:pPr>
              <w:jc w:val="center"/>
              <w:rPr>
                <w:rFonts w:ascii="仿宋" w:hAnsi="仿宋" w:eastAsia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0"/>
                <w:szCs w:val="21"/>
              </w:rPr>
              <w:t>关键词0</w:t>
            </w:r>
            <w:r>
              <w:rPr>
                <w:rFonts w:ascii="仿宋" w:hAnsi="仿宋" w:eastAsia="仿宋"/>
                <w:kern w:val="0"/>
                <w:sz w:val="20"/>
                <w:szCs w:val="21"/>
              </w:rPr>
              <w:t>4-05</w:t>
            </w:r>
            <w:r>
              <w:rPr>
                <w:rFonts w:hint="eastAsia" w:ascii="仿宋" w:hAnsi="仿宋" w:eastAsia="仿宋"/>
                <w:kern w:val="0"/>
                <w:sz w:val="20"/>
                <w:szCs w:val="21"/>
              </w:rPr>
              <w:t>版《假如我们要移居外星……》</w:t>
            </w:r>
          </w:p>
        </w:tc>
        <w:tc>
          <w:tcPr>
            <w:tcW w:w="1644" w:type="dxa"/>
            <w:vAlign w:val="center"/>
          </w:tcPr>
          <w:p w14:paraId="44D60735">
            <w:pPr>
              <w:jc w:val="center"/>
              <w:rPr>
                <w:rFonts w:ascii="仿宋" w:hAnsi="仿宋" w:eastAsia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刊发日期</w:t>
            </w:r>
          </w:p>
        </w:tc>
        <w:tc>
          <w:tcPr>
            <w:tcW w:w="3723" w:type="dxa"/>
            <w:gridSpan w:val="3"/>
            <w:vAlign w:val="center"/>
          </w:tcPr>
          <w:p w14:paraId="4A7D9812">
            <w:pPr>
              <w:jc w:val="center"/>
              <w:rPr>
                <w:rFonts w:ascii="仿宋" w:hAnsi="仿宋" w:eastAsia="仿宋"/>
                <w:kern w:val="0"/>
                <w:sz w:val="2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 w:val="20"/>
                <w:szCs w:val="21"/>
              </w:rPr>
              <w:t>2</w:t>
            </w:r>
            <w:r>
              <w:rPr>
                <w:rFonts w:ascii="仿宋" w:hAnsi="仿宋" w:eastAsia="仿宋"/>
                <w:kern w:val="0"/>
                <w:sz w:val="20"/>
                <w:szCs w:val="21"/>
              </w:rPr>
              <w:t>025</w:t>
            </w:r>
            <w:r>
              <w:rPr>
                <w:rFonts w:hint="eastAsia" w:ascii="仿宋" w:hAnsi="仿宋" w:eastAsia="仿宋"/>
                <w:kern w:val="0"/>
                <w:sz w:val="20"/>
                <w:szCs w:val="21"/>
              </w:rPr>
              <w:t>年7月1日</w:t>
            </w:r>
          </w:p>
        </w:tc>
      </w:tr>
      <w:tr w14:paraId="558B9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  <w:jc w:val="center"/>
        </w:trPr>
        <w:tc>
          <w:tcPr>
            <w:tcW w:w="1696" w:type="dxa"/>
            <w:vAlign w:val="center"/>
          </w:tcPr>
          <w:p w14:paraId="799AD1D4">
            <w:pPr>
              <w:spacing w:line="300" w:lineRule="exact"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作者</w:t>
            </w:r>
          </w:p>
        </w:tc>
        <w:tc>
          <w:tcPr>
            <w:tcW w:w="2701" w:type="dxa"/>
            <w:gridSpan w:val="2"/>
            <w:vAlign w:val="center"/>
          </w:tcPr>
          <w:p w14:paraId="71F7F332">
            <w:pPr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0"/>
                <w:szCs w:val="21"/>
              </w:rPr>
              <w:t>宋莹莹</w:t>
            </w:r>
          </w:p>
        </w:tc>
        <w:tc>
          <w:tcPr>
            <w:tcW w:w="1644" w:type="dxa"/>
            <w:vAlign w:val="center"/>
          </w:tcPr>
          <w:p w14:paraId="0436739A">
            <w:pPr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编辑</w:t>
            </w:r>
          </w:p>
        </w:tc>
        <w:tc>
          <w:tcPr>
            <w:tcW w:w="3723" w:type="dxa"/>
            <w:gridSpan w:val="3"/>
            <w:vAlign w:val="center"/>
          </w:tcPr>
          <w:p w14:paraId="36E0F4FF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 w:ascii="仿宋" w:hAnsi="仿宋" w:eastAsia="仿宋"/>
                <w:kern w:val="0"/>
                <w:sz w:val="20"/>
                <w:szCs w:val="21"/>
              </w:rPr>
              <w:t>宋莹莹 万硕</w:t>
            </w:r>
          </w:p>
        </w:tc>
      </w:tr>
      <w:tr w14:paraId="58C5C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  <w:jc w:val="center"/>
        </w:trPr>
        <w:tc>
          <w:tcPr>
            <w:tcW w:w="1696" w:type="dxa"/>
            <w:vAlign w:val="center"/>
          </w:tcPr>
          <w:p w14:paraId="6B65250B">
            <w:pPr>
              <w:spacing w:line="300" w:lineRule="exact"/>
              <w:jc w:val="center"/>
              <w:rPr>
                <w:rFonts w:ascii="仿宋" w:hAnsi="仿宋" w:eastAsia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版面总字数</w:t>
            </w:r>
          </w:p>
        </w:tc>
        <w:tc>
          <w:tcPr>
            <w:tcW w:w="2701" w:type="dxa"/>
            <w:gridSpan w:val="2"/>
            <w:vAlign w:val="center"/>
          </w:tcPr>
          <w:p w14:paraId="1180F041">
            <w:pPr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0"/>
                <w:szCs w:val="21"/>
              </w:rPr>
              <w:t>1</w:t>
            </w:r>
            <w:r>
              <w:rPr>
                <w:rFonts w:ascii="仿宋" w:hAnsi="仿宋" w:eastAsia="仿宋"/>
                <w:kern w:val="0"/>
                <w:sz w:val="20"/>
                <w:szCs w:val="21"/>
              </w:rPr>
              <w:t>127</w:t>
            </w:r>
            <w:r>
              <w:rPr>
                <w:rFonts w:hint="eastAsia" w:ascii="仿宋" w:hAnsi="仿宋" w:eastAsia="仿宋"/>
                <w:kern w:val="0"/>
                <w:sz w:val="20"/>
                <w:szCs w:val="21"/>
              </w:rPr>
              <w:t>字</w:t>
            </w:r>
          </w:p>
        </w:tc>
        <w:tc>
          <w:tcPr>
            <w:tcW w:w="1644" w:type="dxa"/>
            <w:vAlign w:val="center"/>
          </w:tcPr>
          <w:p w14:paraId="5BDE1772">
            <w:pPr>
              <w:spacing w:line="300" w:lineRule="exact"/>
              <w:jc w:val="center"/>
              <w:rPr>
                <w:rFonts w:ascii="仿宋" w:hAnsi="仿宋" w:eastAsia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是否为“三好作品</w:t>
            </w:r>
            <w:r>
              <w:rPr>
                <w:rFonts w:ascii="仿宋" w:hAnsi="仿宋" w:eastAsia="仿宋" w:cs="仿宋"/>
                <w:b/>
                <w:bCs/>
                <w:kern w:val="0"/>
                <w:sz w:val="28"/>
                <w:szCs w:val="28"/>
              </w:rPr>
              <w:t>”</w:t>
            </w:r>
          </w:p>
        </w:tc>
        <w:tc>
          <w:tcPr>
            <w:tcW w:w="3723" w:type="dxa"/>
            <w:gridSpan w:val="3"/>
            <w:vAlign w:val="center"/>
          </w:tcPr>
          <w:p w14:paraId="6BF55AD0">
            <w:pPr>
              <w:jc w:val="center"/>
              <w:rPr>
                <w:rFonts w:hint="eastAsia" w:eastAsia="宋体"/>
                <w:kern w:val="0"/>
                <w:sz w:val="20"/>
                <w:lang w:eastAsia="zh-CN"/>
              </w:rPr>
            </w:pPr>
            <w:r>
              <w:rPr>
                <w:rFonts w:hint="eastAsia" w:ascii="仿宋" w:hAnsi="仿宋" w:eastAsia="仿宋"/>
                <w:kern w:val="0"/>
                <w:sz w:val="20"/>
                <w:szCs w:val="21"/>
                <w:lang w:val="en-US" w:eastAsia="zh-CN"/>
              </w:rPr>
              <w:t>否</w:t>
            </w:r>
            <w:bookmarkStart w:id="2" w:name="_GoBack"/>
            <w:bookmarkEnd w:id="2"/>
          </w:p>
        </w:tc>
      </w:tr>
      <w:tr w14:paraId="748EF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9" w:hRule="atLeast"/>
          <w:jc w:val="center"/>
        </w:trPr>
        <w:tc>
          <w:tcPr>
            <w:tcW w:w="1696" w:type="dxa"/>
            <w:textDirection w:val="tbLrV"/>
            <w:vAlign w:val="center"/>
          </w:tcPr>
          <w:p w14:paraId="7A6C800B">
            <w:pPr>
              <w:spacing w:line="300" w:lineRule="exact"/>
              <w:ind w:left="113" w:right="113"/>
              <w:jc w:val="center"/>
              <w:rPr>
                <w:rFonts w:ascii="仿宋" w:hAnsi="仿宋" w:eastAsia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作品简介</w:t>
            </w:r>
          </w:p>
          <w:p w14:paraId="5C6CB37C">
            <w:pPr>
              <w:ind w:left="113" w:right="113"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（采编过程）</w:t>
            </w:r>
          </w:p>
        </w:tc>
        <w:tc>
          <w:tcPr>
            <w:tcW w:w="8068" w:type="dxa"/>
            <w:gridSpan w:val="6"/>
            <w:vAlign w:val="center"/>
          </w:tcPr>
          <w:p w14:paraId="6AAD95A7">
            <w:pPr>
              <w:ind w:firstLine="400" w:firstLineChars="200"/>
              <w:rPr>
                <w:rFonts w:ascii="仿宋" w:hAnsi="仿宋" w:eastAsia="仿宋" w:cs="仿宋"/>
                <w:color w:val="000000"/>
                <w:kern w:val="0"/>
                <w:sz w:val="20"/>
                <w:lang w:bidi="ar"/>
              </w:rPr>
            </w:pPr>
            <w:bookmarkStart w:id="0" w:name="OLE_LINK2"/>
            <w:bookmarkStart w:id="1" w:name="OLE_LINK1"/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lang w:bidi="ar"/>
              </w:rPr>
              <w:t>2025年是中国航天征程中不平凡的一年：中国空间站常态化运营；天问二号执行小行星伴飞取样探测任务；中欧首次合作研制的“微笑卫星”将发射升空……2</w:t>
            </w:r>
            <w:r>
              <w:rPr>
                <w:rFonts w:ascii="仿宋" w:hAnsi="仿宋" w:eastAsia="仿宋" w:cs="仿宋"/>
                <w:color w:val="000000"/>
                <w:kern w:val="0"/>
                <w:sz w:val="20"/>
                <w:lang w:bidi="ar"/>
              </w:rPr>
              <w:t>025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lang w:bidi="ar"/>
              </w:rPr>
              <w:t>年上半年，神舟二十号载人飞船的成功发射，又一次点燃了青少年对巡天的向往。正值7月学生暑假研学之际，本报发起了关于空间探索、关于航天科技、关于未来生活的调查，从中学生的视角出发，以“移居外星”为话题进行调查报道。在数百份反馈中，中学生的思考振聋发聩；中国成功发射神舟五号载人飞船、中国空间站建立、第一次太空授课、嫦娥五号将月壤带回中国等，都是他们心中中国航天最了不起的时刻。这些内容反映了新时代少年的心声。</w:t>
            </w:r>
          </w:p>
          <w:p w14:paraId="248A56D4">
            <w:pPr>
              <w:ind w:firstLine="400" w:firstLineChars="200"/>
              <w:rPr>
                <w:rFonts w:ascii="仿宋" w:hAnsi="仿宋" w:eastAsia="仿宋" w:cs="仿宋"/>
                <w:color w:val="000000"/>
                <w:kern w:val="0"/>
                <w:sz w:val="20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lang w:bidi="ar"/>
              </w:rPr>
              <w:t>在内容和版式上，创造性地采用了数据可视化、内容一目了然的图文设计方式，凝聚心血打磨了整个版式，并几易其稿寻求突破，最终才呈现出令人眼前一亮的效果。对于报纸面向的中学生读者群体来说，这样的新闻版式，也是一次新闻与视觉上的“青言青语”的成功转化。</w:t>
            </w:r>
          </w:p>
          <w:p w14:paraId="5975BAA3">
            <w:pPr>
              <w:ind w:firstLine="400" w:firstLineChars="200"/>
              <w:rPr>
                <w:rFonts w:ascii="仿宋" w:hAnsi="仿宋" w:eastAsia="仿宋" w:cs="仿宋"/>
                <w:color w:val="000000"/>
                <w:kern w:val="0"/>
                <w:sz w:val="20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lang w:bidi="ar"/>
              </w:rPr>
              <w:t>本作品充分发挥了创新精神，对文字、设计精益求精，每一张图示都是信息的精准送达，在有限的版面上做到了重点突出、内容丰富、视角独特、特色鲜明。</w:t>
            </w:r>
            <w:bookmarkEnd w:id="0"/>
            <w:bookmarkEnd w:id="1"/>
          </w:p>
        </w:tc>
      </w:tr>
      <w:tr w14:paraId="54BEB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7" w:hRule="atLeast"/>
          <w:jc w:val="center"/>
        </w:trPr>
        <w:tc>
          <w:tcPr>
            <w:tcW w:w="1696" w:type="dxa"/>
            <w:textDirection w:val="tbLrV"/>
            <w:vAlign w:val="center"/>
          </w:tcPr>
          <w:p w14:paraId="78B422D3">
            <w:pPr>
              <w:ind w:left="113" w:right="113"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社会效果</w:t>
            </w:r>
          </w:p>
        </w:tc>
        <w:tc>
          <w:tcPr>
            <w:tcW w:w="8068" w:type="dxa"/>
            <w:gridSpan w:val="6"/>
            <w:vAlign w:val="center"/>
          </w:tcPr>
          <w:p w14:paraId="2C7A7699">
            <w:pPr>
              <w:widowControl/>
              <w:ind w:firstLine="400" w:firstLineChars="200"/>
              <w:rPr>
                <w:kern w:val="0"/>
                <w:sz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lang w:bidi="ar"/>
              </w:rPr>
              <w:t>作品利用线上线下互动，先在网端调研、实地采访，后在新媒体、报纸上联动刊发，在这个过程中取得了非常好的融媒传播效果，也实现了更为广泛的传播。作品刊登后，在中学生群体中引发了广泛讨论，并由此产生了深度思考和积极的社会影响。</w:t>
            </w:r>
          </w:p>
        </w:tc>
      </w:tr>
      <w:tr w14:paraId="2FBF6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1" w:hRule="atLeast"/>
          <w:jc w:val="center"/>
        </w:trPr>
        <w:tc>
          <w:tcPr>
            <w:tcW w:w="1696" w:type="dxa"/>
            <w:textDirection w:val="tbLrV"/>
            <w:vAlign w:val="center"/>
          </w:tcPr>
          <w:p w14:paraId="607590AC">
            <w:pPr>
              <w:spacing w:line="380" w:lineRule="exact"/>
              <w:ind w:left="113" w:right="113"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</w:rPr>
              <w:t>推荐理由</w:t>
            </w:r>
          </w:p>
        </w:tc>
        <w:tc>
          <w:tcPr>
            <w:tcW w:w="8068" w:type="dxa"/>
            <w:gridSpan w:val="6"/>
            <w:vAlign w:val="center"/>
          </w:tcPr>
          <w:p w14:paraId="01404135">
            <w:pPr>
              <w:jc w:val="left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</w:p>
          <w:p w14:paraId="36EAE1E0">
            <w:pPr>
              <w:ind w:firstLine="400" w:firstLineChars="200"/>
              <w:jc w:val="left"/>
              <w:rPr>
                <w:rFonts w:ascii="仿宋" w:hAnsi="仿宋" w:eastAsia="仿宋" w:cs="仿宋"/>
                <w:kern w:val="0"/>
                <w:sz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</w:rPr>
              <w:t>该作品独具创新，呈现方式别具一格。作为给青少年读的新闻版面，将调查报道中的数据、问题，用可视化的设计，吸引读者的注意力，深受读者喜爱。在极具动感、冲击力和创意的图文互配中，让作品主题更加鲜明和突出，从而达到了最佳的宣传效果。</w:t>
            </w:r>
          </w:p>
          <w:p w14:paraId="7981C25D">
            <w:pPr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</w:p>
          <w:p w14:paraId="1B4D1450">
            <w:pPr>
              <w:wordWrap w:val="0"/>
              <w:jc w:val="right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 xml:space="preserve">签名：（盖单位公章）     </w:t>
            </w:r>
          </w:p>
          <w:p w14:paraId="292C71C9">
            <w:pPr>
              <w:wordWrap w:val="0"/>
              <w:jc w:val="right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 xml:space="preserve">2025年 </w:t>
            </w:r>
            <w:r>
              <w:rPr>
                <w:rFonts w:ascii="仿宋" w:hAnsi="仿宋" w:eastAsia="仿宋" w:cs="仿宋"/>
                <w:kern w:val="0"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 xml:space="preserve"> 月 </w:t>
            </w:r>
            <w:r>
              <w:rPr>
                <w:rFonts w:ascii="仿宋" w:hAnsi="仿宋" w:eastAsia="仿宋" w:cs="仿宋"/>
                <w:kern w:val="0"/>
                <w:sz w:val="24"/>
                <w:szCs w:val="24"/>
              </w:rPr>
              <w:t>17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 xml:space="preserve"> 日         </w:t>
            </w:r>
          </w:p>
        </w:tc>
      </w:tr>
      <w:tr w14:paraId="5C048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1696" w:type="dxa"/>
            <w:vAlign w:val="center"/>
          </w:tcPr>
          <w:p w14:paraId="59FE3001">
            <w:pPr>
              <w:wordWrap w:val="0"/>
              <w:jc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</w:rPr>
              <w:t>联系人</w:t>
            </w:r>
          </w:p>
        </w:tc>
        <w:tc>
          <w:tcPr>
            <w:tcW w:w="1560" w:type="dxa"/>
            <w:vAlign w:val="center"/>
          </w:tcPr>
          <w:p w14:paraId="357A62D9">
            <w:pPr>
              <w:wordWrap w:val="0"/>
              <w:jc w:val="center"/>
              <w:rPr>
                <w:rFonts w:ascii="仿宋" w:hAnsi="仿宋" w:eastAsia="仿宋" w:cs="仿宋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</w:rPr>
              <w:t>宋莹莹</w:t>
            </w:r>
          </w:p>
        </w:tc>
        <w:tc>
          <w:tcPr>
            <w:tcW w:w="1141" w:type="dxa"/>
            <w:vAlign w:val="center"/>
          </w:tcPr>
          <w:p w14:paraId="24846E1E">
            <w:pPr>
              <w:wordWrap w:val="0"/>
              <w:jc w:val="center"/>
              <w:rPr>
                <w:rFonts w:ascii="仿宋" w:hAnsi="仿宋" w:eastAsia="仿宋" w:cs="仿宋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</w:rPr>
              <w:t>电话</w:t>
            </w:r>
          </w:p>
        </w:tc>
        <w:tc>
          <w:tcPr>
            <w:tcW w:w="2261" w:type="dxa"/>
            <w:gridSpan w:val="2"/>
            <w:vAlign w:val="center"/>
          </w:tcPr>
          <w:p w14:paraId="79879802">
            <w:pPr>
              <w:wordWrap w:val="0"/>
              <w:jc w:val="center"/>
              <w:rPr>
                <w:rFonts w:ascii="仿宋" w:hAnsi="仿宋" w:eastAsia="仿宋" w:cs="仿宋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</w:rPr>
              <w:t>0</w:t>
            </w:r>
            <w:r>
              <w:rPr>
                <w:rFonts w:ascii="仿宋" w:hAnsi="仿宋" w:eastAsia="仿宋" w:cs="仿宋"/>
                <w:kern w:val="2"/>
                <w:sz w:val="28"/>
                <w:szCs w:val="28"/>
              </w:rPr>
              <w:t>10-57526476</w:t>
            </w:r>
          </w:p>
        </w:tc>
        <w:tc>
          <w:tcPr>
            <w:tcW w:w="1161" w:type="dxa"/>
            <w:vAlign w:val="center"/>
          </w:tcPr>
          <w:p w14:paraId="6F7BB97C">
            <w:pPr>
              <w:wordWrap w:val="0"/>
              <w:jc w:val="center"/>
              <w:rPr>
                <w:rFonts w:ascii="仿宋" w:hAnsi="仿宋" w:eastAsia="仿宋" w:cs="仿宋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</w:rPr>
              <w:t>手机</w:t>
            </w:r>
          </w:p>
        </w:tc>
        <w:tc>
          <w:tcPr>
            <w:tcW w:w="1945" w:type="dxa"/>
            <w:vAlign w:val="center"/>
          </w:tcPr>
          <w:p w14:paraId="3924E0C1">
            <w:pPr>
              <w:wordWrap w:val="0"/>
              <w:jc w:val="center"/>
              <w:rPr>
                <w:rFonts w:ascii="仿宋" w:hAnsi="仿宋" w:eastAsia="仿宋" w:cs="仿宋"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</w:rPr>
              <w:t>1</w:t>
            </w:r>
            <w:r>
              <w:rPr>
                <w:rFonts w:ascii="仿宋" w:hAnsi="仿宋" w:eastAsia="仿宋" w:cs="仿宋"/>
                <w:kern w:val="2"/>
                <w:sz w:val="28"/>
                <w:szCs w:val="28"/>
              </w:rPr>
              <w:t>3811367425</w:t>
            </w:r>
          </w:p>
        </w:tc>
      </w:tr>
      <w:tr w14:paraId="47F17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696" w:type="dxa"/>
            <w:shd w:val="clear" w:color="auto" w:fill="auto"/>
            <w:vAlign w:val="center"/>
          </w:tcPr>
          <w:p w14:paraId="31C07C3E">
            <w:pPr>
              <w:spacing w:line="38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</w:rPr>
              <w:t>地址</w:t>
            </w:r>
          </w:p>
        </w:tc>
        <w:tc>
          <w:tcPr>
            <w:tcW w:w="8068" w:type="dxa"/>
            <w:gridSpan w:val="6"/>
            <w:shd w:val="clear" w:color="auto" w:fill="auto"/>
            <w:vAlign w:val="center"/>
          </w:tcPr>
          <w:p w14:paraId="3E8C9CB2">
            <w:pPr>
              <w:wordWrap w:val="0"/>
              <w:jc w:val="center"/>
              <w:rPr>
                <w:rFonts w:ascii="仿宋" w:hAnsi="仿宋" w:eastAsia="仿宋" w:cs="仿宋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北京市朝阳区建国门外大街丙12号</w:t>
            </w:r>
          </w:p>
        </w:tc>
      </w:tr>
    </w:tbl>
    <w:p w14:paraId="33DCAF92">
      <w:pPr>
        <w:widowControl/>
        <w:rPr>
          <w:rFonts w:ascii="楷体" w:hAnsi="楷体" w:eastAsia="楷体"/>
          <w:b/>
          <w:color w:val="000000"/>
          <w:kern w:val="0"/>
          <w:sz w:val="28"/>
          <w:szCs w:val="28"/>
          <w:lang w:val="zh-CN"/>
        </w:rPr>
      </w:pPr>
    </w:p>
    <w:p w14:paraId="1A7634E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6D6"/>
    <w:rsid w:val="00062FCB"/>
    <w:rsid w:val="000B5EF8"/>
    <w:rsid w:val="000D2F59"/>
    <w:rsid w:val="000F46AE"/>
    <w:rsid w:val="0014361A"/>
    <w:rsid w:val="00154F7F"/>
    <w:rsid w:val="00165294"/>
    <w:rsid w:val="002615B2"/>
    <w:rsid w:val="00275E68"/>
    <w:rsid w:val="00282B29"/>
    <w:rsid w:val="0037298C"/>
    <w:rsid w:val="003868C9"/>
    <w:rsid w:val="003A5BF2"/>
    <w:rsid w:val="003B7ACE"/>
    <w:rsid w:val="003E3F7C"/>
    <w:rsid w:val="003E46B4"/>
    <w:rsid w:val="00422B02"/>
    <w:rsid w:val="004903F9"/>
    <w:rsid w:val="004B09C5"/>
    <w:rsid w:val="004C7F3B"/>
    <w:rsid w:val="004D707B"/>
    <w:rsid w:val="00512255"/>
    <w:rsid w:val="005512CC"/>
    <w:rsid w:val="005B0517"/>
    <w:rsid w:val="005C69E7"/>
    <w:rsid w:val="00686A49"/>
    <w:rsid w:val="006E5BEA"/>
    <w:rsid w:val="006F58E5"/>
    <w:rsid w:val="00740203"/>
    <w:rsid w:val="007E75A9"/>
    <w:rsid w:val="00810AA6"/>
    <w:rsid w:val="008173B1"/>
    <w:rsid w:val="008412F6"/>
    <w:rsid w:val="008C274E"/>
    <w:rsid w:val="008F6DED"/>
    <w:rsid w:val="00974023"/>
    <w:rsid w:val="009A2976"/>
    <w:rsid w:val="009E6996"/>
    <w:rsid w:val="00A1629B"/>
    <w:rsid w:val="00A6173D"/>
    <w:rsid w:val="00A87BBD"/>
    <w:rsid w:val="00A97E41"/>
    <w:rsid w:val="00B02DAC"/>
    <w:rsid w:val="00B60999"/>
    <w:rsid w:val="00B8218D"/>
    <w:rsid w:val="00B9279B"/>
    <w:rsid w:val="00BF15E2"/>
    <w:rsid w:val="00C558A8"/>
    <w:rsid w:val="00CB169B"/>
    <w:rsid w:val="00CD0CB5"/>
    <w:rsid w:val="00CD6568"/>
    <w:rsid w:val="00D14657"/>
    <w:rsid w:val="00D14BA8"/>
    <w:rsid w:val="00D20574"/>
    <w:rsid w:val="00D52BDB"/>
    <w:rsid w:val="00D75170"/>
    <w:rsid w:val="00DA4EA8"/>
    <w:rsid w:val="00F138A4"/>
    <w:rsid w:val="00F20591"/>
    <w:rsid w:val="00F210E8"/>
    <w:rsid w:val="00F538EE"/>
    <w:rsid w:val="00FC26D6"/>
    <w:rsid w:val="00FF3AA9"/>
    <w:rsid w:val="3EEF2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849</Words>
  <Characters>891</Characters>
  <Lines>6</Lines>
  <Paragraphs>1</Paragraphs>
  <TotalTime>33</TotalTime>
  <ScaleCrop>false</ScaleCrop>
  <LinksUpToDate>false</LinksUpToDate>
  <CharactersWithSpaces>910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2026-03-17T12:13:00Z</dcterms:created>
  <dc:creator>宋莹莹</dc:creator>
  <cp:lastModifiedBy>511</cp:lastModifiedBy>
  <dcterms:modified xsi:type="dcterms:W3CDTF">2026-03-18T03:48:15Z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eyJoZGlkIjoiNzAyNzNhNDVmOWY1Y2IzYjVlZWQzNmFhZmY4MGQ4OTUiLCJ1c2VySWQiOiI0OTIzNTg3ODYifQ==</vt:lpwstr>
  </property>
  <property fmtid="{D5CDD505-2E9C-101B-9397-08002B2CF9AE}" pid="3" name="KSOProductBuildVer">
    <vt:lpwstr>2052-12.1.0.25225</vt:lpwstr>
  </property>
  <property fmtid="{D5CDD505-2E9C-101B-9397-08002B2CF9AE}" pid="4" name="ICV">
    <vt:lpwstr>B1FC15D0F37240D7BBE9162994FA4F8C_12</vt:lpwstr>
  </property>
</Properties>
</file>