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方正仿宋简体"/>
          <w:bCs/>
          <w:sz w:val="32"/>
          <w:szCs w:val="32"/>
        </w:rPr>
      </w:pPr>
      <w:r>
        <w:rPr>
          <w:rFonts w:hint="eastAsia" w:ascii="Times New Roman" w:hAnsi="Times New Roman" w:eastAsia="方正仿宋简体"/>
          <w:bCs/>
          <w:sz w:val="32"/>
          <w:szCs w:val="32"/>
        </w:rPr>
        <w:t>附件</w:t>
      </w:r>
      <w:r>
        <w:rPr>
          <w:rFonts w:ascii="Times New Roman" w:hAnsi="Times New Roman" w:eastAsia="方正仿宋简体"/>
          <w:bCs/>
          <w:sz w:val="32"/>
          <w:szCs w:val="32"/>
        </w:rPr>
        <w:t>1</w:t>
      </w:r>
    </w:p>
    <w:p>
      <w:pPr>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实践参考课题</w:t>
      </w:r>
    </w:p>
    <w:p>
      <w:pPr>
        <w:spacing w:line="520" w:lineRule="exact"/>
        <w:rPr>
          <w:rFonts w:ascii="Times New Roman" w:hAnsi="Times New Roman" w:eastAsia="方正黑体简体"/>
          <w:bCs/>
          <w:sz w:val="32"/>
          <w:szCs w:val="32"/>
        </w:rPr>
      </w:pPr>
      <w:r>
        <w:rPr>
          <w:rFonts w:ascii="Times New Roman" w:hAnsi="Times New Roman" w:eastAsia="方正黑体简体"/>
          <w:bCs/>
          <w:sz w:val="32"/>
          <w:szCs w:val="32"/>
        </w:rPr>
        <w:t xml:space="preserve"> </w:t>
      </w:r>
    </w:p>
    <w:p>
      <w:pPr>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 xml:space="preserve">1. </w:t>
      </w:r>
      <w:r>
        <w:rPr>
          <w:rFonts w:hint="eastAsia" w:ascii="Times New Roman" w:hAnsi="Times New Roman" w:eastAsia="方正仿宋简体"/>
          <w:bCs/>
          <w:sz w:val="32"/>
          <w:szCs w:val="32"/>
        </w:rPr>
        <w:t>井冈山革命传统教育在青少年思想引领中的作用及效果分析（以基地为例）</w:t>
      </w:r>
    </w:p>
    <w:p>
      <w:pPr>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 xml:space="preserve">2. </w:t>
      </w:r>
      <w:r>
        <w:rPr>
          <w:rFonts w:hint="eastAsia" w:ascii="Times New Roman" w:hAnsi="Times New Roman" w:eastAsia="方正仿宋简体"/>
          <w:bCs/>
          <w:sz w:val="32"/>
          <w:szCs w:val="32"/>
        </w:rPr>
        <w:t>适用于青少年基地的现场教学点课程设计</w:t>
      </w:r>
      <w:r>
        <w:rPr>
          <w:rFonts w:ascii="Times New Roman" w:hAnsi="Times New Roman" w:eastAsia="方正仿宋简体"/>
          <w:bCs/>
          <w:sz w:val="32"/>
          <w:szCs w:val="32"/>
        </w:rPr>
        <w:t>(</w:t>
      </w:r>
      <w:r>
        <w:rPr>
          <w:rFonts w:hint="eastAsia" w:ascii="Times New Roman" w:hAnsi="Times New Roman" w:eastAsia="方正仿宋简体"/>
          <w:bCs/>
          <w:sz w:val="32"/>
          <w:szCs w:val="32"/>
        </w:rPr>
        <w:t>北山烈士陵园、茨坪革命旧址群、大井毛泽东旧居、小井烈士墓、黄洋界、八角楼、三湾枫树坪、龙江书院、荆竹山雷打石任选一例，围绕青年干部和青少年两个不同的群体设计出适合本教学点的讲解词与契合现场主题的授课稿各一篇）</w:t>
      </w:r>
    </w:p>
    <w:p>
      <w:pPr>
        <w:autoSpaceDN w:val="0"/>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 xml:space="preserve">3. </w:t>
      </w:r>
      <w:r>
        <w:rPr>
          <w:rFonts w:hint="eastAsia" w:ascii="Times New Roman" w:hAnsi="Times New Roman" w:eastAsia="方正仿宋简体"/>
          <w:bCs/>
          <w:sz w:val="32"/>
          <w:szCs w:val="32"/>
        </w:rPr>
        <w:t>井冈山红色歌谣在党史教育中的课程创新设计（需设计具体的“红歌教学”方案和课件）</w:t>
      </w:r>
    </w:p>
    <w:p>
      <w:pPr>
        <w:autoSpaceDN w:val="0"/>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 xml:space="preserve">4. </w:t>
      </w:r>
      <w:r>
        <w:rPr>
          <w:rFonts w:hint="eastAsia" w:ascii="Times New Roman" w:hAnsi="Times New Roman" w:eastAsia="方正仿宋简体"/>
          <w:bCs/>
          <w:sz w:val="32"/>
          <w:szCs w:val="32"/>
        </w:rPr>
        <w:t>井冈山红色诗词在党史教育中的课程创新设计（需设计具体的课程方案和课件）</w:t>
      </w:r>
    </w:p>
    <w:p>
      <w:pPr>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 xml:space="preserve">5. </w:t>
      </w:r>
      <w:r>
        <w:rPr>
          <w:rFonts w:hint="eastAsia" w:ascii="Times New Roman" w:hAnsi="Times New Roman" w:eastAsia="方正仿宋简体"/>
          <w:bCs/>
          <w:sz w:val="32"/>
          <w:szCs w:val="32"/>
        </w:rPr>
        <w:t>糅合井冈山革命斗争史的素质拓展项目活动设计（基地课程“红军的一天”“红军运动会”“作风建设永远在路上”任选一例，需设计具体的项目操作手册）</w:t>
      </w:r>
    </w:p>
    <w:p>
      <w:pPr>
        <w:autoSpaceDN w:val="0"/>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 xml:space="preserve">6. </w:t>
      </w:r>
      <w:r>
        <w:rPr>
          <w:rFonts w:hint="eastAsia" w:ascii="Times New Roman" w:hAnsi="Times New Roman" w:eastAsia="方正仿宋简体"/>
          <w:bCs/>
          <w:sz w:val="32"/>
          <w:szCs w:val="32"/>
        </w:rPr>
        <w:t>基于井冈山红色资源有效整合基础上的青少年游学营项目设计（需设计具体的项目操作手册）</w:t>
      </w:r>
    </w:p>
    <w:p>
      <w:pPr>
        <w:spacing w:line="520" w:lineRule="exact"/>
        <w:ind w:firstLine="640" w:firstLineChars="200"/>
        <w:rPr>
          <w:rFonts w:ascii="Times New Roman" w:hAnsi="Times New Roman" w:eastAsia="方正黑体简体"/>
          <w:bCs/>
          <w:sz w:val="32"/>
          <w:szCs w:val="32"/>
        </w:rPr>
      </w:pPr>
      <w:r>
        <w:rPr>
          <w:rFonts w:ascii="Times New Roman" w:hAnsi="Times New Roman" w:eastAsia="方正仿宋简体"/>
          <w:bCs/>
          <w:sz w:val="32"/>
          <w:szCs w:val="32"/>
        </w:rPr>
        <w:t xml:space="preserve">7. </w:t>
      </w:r>
      <w:r>
        <w:rPr>
          <w:rFonts w:hint="eastAsia" w:ascii="Times New Roman" w:hAnsi="Times New Roman" w:eastAsia="方正仿宋简体"/>
          <w:bCs/>
          <w:sz w:val="32"/>
          <w:szCs w:val="32"/>
        </w:rPr>
        <w:t>井冈山斗争时期历史文物背后的故事采集与整理（需分类别整理故事材料）</w:t>
      </w:r>
    </w:p>
    <w:p>
      <w:pPr>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8</w:t>
      </w:r>
      <w:r>
        <w:rPr>
          <w:rFonts w:hint="eastAsia" w:ascii="Times New Roman" w:hAnsi="Times New Roman" w:eastAsia="方正仿宋简体"/>
          <w:bCs/>
          <w:sz w:val="32"/>
          <w:szCs w:val="32"/>
        </w:rPr>
        <w:t>．适应于青少年基地的校园歌曲创编</w:t>
      </w:r>
    </w:p>
    <w:p>
      <w:pPr>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 xml:space="preserve">9. </w:t>
      </w:r>
      <w:r>
        <w:rPr>
          <w:rFonts w:hint="eastAsia" w:ascii="Times New Roman" w:hAnsi="Times New Roman" w:eastAsia="方正仿宋简体"/>
          <w:bCs/>
          <w:sz w:val="32"/>
          <w:szCs w:val="32"/>
        </w:rPr>
        <w:t>基于井冈山重大历史事件的动态地图制作</w:t>
      </w:r>
    </w:p>
    <w:p>
      <w:pPr>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 xml:space="preserve">10. </w:t>
      </w:r>
      <w:r>
        <w:rPr>
          <w:rFonts w:hint="eastAsia" w:ascii="Times New Roman" w:hAnsi="Times New Roman" w:eastAsia="方正仿宋简体"/>
          <w:bCs/>
          <w:sz w:val="32"/>
          <w:szCs w:val="32"/>
        </w:rPr>
        <w:t>糅合井冈山红色元素的楼宇、室内装饰设计（基地综合楼、专家楼、学员楼、学员餐厅任选一例）</w:t>
      </w:r>
    </w:p>
    <w:p>
      <w:pPr>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11</w:t>
      </w:r>
      <w:r>
        <w:rPr>
          <w:rFonts w:hint="eastAsia" w:ascii="Times New Roman" w:hAnsi="Times New Roman" w:eastAsia="方正仿宋简体"/>
          <w:bCs/>
          <w:sz w:val="32"/>
          <w:szCs w:val="32"/>
        </w:rPr>
        <w:t>．红色微电影创作与拍摄</w:t>
      </w:r>
    </w:p>
    <w:p>
      <w:pPr>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12</w:t>
      </w:r>
      <w:r>
        <w:rPr>
          <w:rFonts w:hint="eastAsia" w:ascii="Times New Roman" w:hAnsi="Times New Roman" w:eastAsia="方正仿宋简体"/>
          <w:bCs/>
          <w:sz w:val="32"/>
          <w:szCs w:val="32"/>
        </w:rPr>
        <w:t>．井冈山革命历史重大事件动漫创作（如引兵井冈、三湾改编、井冈山会师、黄洋界保卫战等）</w:t>
      </w:r>
    </w:p>
    <w:p>
      <w:pPr>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13</w:t>
      </w:r>
      <w:r>
        <w:rPr>
          <w:rFonts w:hint="eastAsia" w:ascii="Times New Roman" w:hAnsi="Times New Roman" w:eastAsia="方正仿宋简体"/>
          <w:bCs/>
          <w:sz w:val="32"/>
          <w:szCs w:val="32"/>
        </w:rPr>
        <w:t>．井冈山革命历史连环画创作</w:t>
      </w:r>
    </w:p>
    <w:p>
      <w:pPr>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14</w:t>
      </w:r>
      <w:r>
        <w:rPr>
          <w:rFonts w:hint="eastAsia" w:ascii="Times New Roman" w:hAnsi="Times New Roman" w:eastAsia="方正仿宋简体"/>
          <w:bCs/>
          <w:sz w:val="32"/>
          <w:szCs w:val="32"/>
        </w:rPr>
        <w:t>．井冈山革命历史情景剧剧本创作</w:t>
      </w:r>
    </w:p>
    <w:p>
      <w:pPr>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15</w:t>
      </w:r>
      <w:r>
        <w:rPr>
          <w:rFonts w:hint="eastAsia" w:ascii="Times New Roman" w:hAnsi="Times New Roman" w:eastAsia="方正仿宋简体"/>
          <w:bCs/>
          <w:sz w:val="32"/>
          <w:szCs w:val="32"/>
        </w:rPr>
        <w:t>．井冈山革命历史文化产品创意设计</w:t>
      </w:r>
    </w:p>
    <w:p>
      <w:pPr>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16</w:t>
      </w:r>
      <w:r>
        <w:rPr>
          <w:rFonts w:hint="eastAsia" w:ascii="Times New Roman" w:hAnsi="Times New Roman" w:eastAsia="方正仿宋简体"/>
          <w:bCs/>
          <w:sz w:val="32"/>
          <w:szCs w:val="32"/>
        </w:rPr>
        <w:t>．井冈山竹子文化与精神的挖掘</w:t>
      </w:r>
    </w:p>
    <w:p>
      <w:pPr>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17</w:t>
      </w:r>
      <w:r>
        <w:rPr>
          <w:rFonts w:hint="eastAsia" w:ascii="Times New Roman" w:hAnsi="Times New Roman" w:eastAsia="方正仿宋简体"/>
          <w:bCs/>
          <w:sz w:val="32"/>
          <w:szCs w:val="32"/>
        </w:rPr>
        <w:t>．井冈山红色歌谣的采集与整理</w:t>
      </w:r>
    </w:p>
    <w:p>
      <w:pPr>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 xml:space="preserve">18. </w:t>
      </w:r>
      <w:r>
        <w:rPr>
          <w:rFonts w:hint="eastAsia" w:ascii="Times New Roman" w:hAnsi="Times New Roman" w:eastAsia="方正仿宋简体"/>
          <w:bCs/>
          <w:sz w:val="32"/>
          <w:szCs w:val="32"/>
        </w:rPr>
        <w:t>革命后代口述史料采集、整理及视频制作</w:t>
      </w:r>
    </w:p>
    <w:p>
      <w:pPr>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 xml:space="preserve">19. </w:t>
      </w:r>
      <w:r>
        <w:rPr>
          <w:rFonts w:hint="eastAsia" w:ascii="Times New Roman" w:hAnsi="Times New Roman" w:eastAsia="方正仿宋简体"/>
          <w:bCs/>
          <w:sz w:val="32"/>
          <w:szCs w:val="32"/>
        </w:rPr>
        <w:t>革命历史题材影视剧涉及井冈山的视频片段素材库建设</w:t>
      </w:r>
    </w:p>
    <w:p>
      <w:pPr>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 xml:space="preserve">20. </w:t>
      </w:r>
      <w:r>
        <w:rPr>
          <w:rFonts w:hint="eastAsia" w:ascii="Times New Roman" w:hAnsi="Times New Roman" w:eastAsia="方正仿宋简体"/>
          <w:bCs/>
          <w:sz w:val="32"/>
          <w:szCs w:val="32"/>
        </w:rPr>
        <w:t>井冈山革命根据地诗词、楹联收集与整理</w:t>
      </w:r>
    </w:p>
    <w:p>
      <w:pPr>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 xml:space="preserve">21. </w:t>
      </w:r>
      <w:r>
        <w:rPr>
          <w:rFonts w:hint="eastAsia" w:ascii="Times New Roman" w:hAnsi="Times New Roman" w:eastAsia="方正仿宋简体"/>
          <w:bCs/>
          <w:sz w:val="32"/>
          <w:szCs w:val="32"/>
        </w:rPr>
        <w:t>红色教育中体验式教学运用实践与效果分析</w:t>
      </w:r>
    </w:p>
    <w:p>
      <w:pPr>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 xml:space="preserve">22. </w:t>
      </w:r>
      <w:r>
        <w:rPr>
          <w:rFonts w:hint="eastAsia" w:ascii="Times New Roman" w:hAnsi="Times New Roman" w:eastAsia="方正仿宋简体"/>
          <w:bCs/>
          <w:sz w:val="32"/>
          <w:szCs w:val="32"/>
        </w:rPr>
        <w:t>井冈山革命传统教育网络微课堂课程开发</w:t>
      </w:r>
    </w:p>
    <w:p>
      <w:pPr>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23</w:t>
      </w:r>
      <w:r>
        <w:rPr>
          <w:rFonts w:hint="eastAsia" w:ascii="Times New Roman" w:hAnsi="Times New Roman" w:eastAsia="方正仿宋简体"/>
          <w:bCs/>
          <w:sz w:val="32"/>
          <w:szCs w:val="32"/>
        </w:rPr>
        <w:t>．微信微博等新媒体在青少年革命传统教育中的应用研究</w:t>
      </w:r>
    </w:p>
    <w:p>
      <w:pPr>
        <w:spacing w:line="520" w:lineRule="exact"/>
        <w:ind w:firstLine="640" w:firstLineChars="200"/>
        <w:jc w:val="left"/>
        <w:rPr>
          <w:rFonts w:ascii="Times New Roman" w:hAnsi="Times New Roman" w:eastAsia="方正仿宋简体"/>
          <w:bCs/>
          <w:sz w:val="32"/>
          <w:szCs w:val="32"/>
        </w:rPr>
      </w:pPr>
      <w:r>
        <w:rPr>
          <w:rFonts w:ascii="Times New Roman" w:hAnsi="Times New Roman" w:eastAsia="方正仿宋简体"/>
          <w:bCs/>
          <w:sz w:val="32"/>
          <w:szCs w:val="32"/>
        </w:rPr>
        <w:t>24</w:t>
      </w:r>
      <w:r>
        <w:rPr>
          <w:rFonts w:hint="eastAsia" w:ascii="Times New Roman" w:hAnsi="Times New Roman" w:eastAsia="方正仿宋简体"/>
          <w:bCs/>
          <w:sz w:val="32"/>
          <w:szCs w:val="32"/>
        </w:rPr>
        <w:t>．井冈山农业产业化典型案例调查与研究</w:t>
      </w:r>
    </w:p>
    <w:p>
      <w:pPr>
        <w:spacing w:line="520" w:lineRule="exact"/>
        <w:ind w:firstLine="640" w:firstLineChars="200"/>
        <w:jc w:val="left"/>
        <w:rPr>
          <w:rFonts w:ascii="Times New Roman" w:hAnsi="Times New Roman" w:eastAsia="方正仿宋简体"/>
          <w:bCs/>
          <w:sz w:val="32"/>
          <w:szCs w:val="32"/>
        </w:rPr>
      </w:pPr>
      <w:r>
        <w:rPr>
          <w:rFonts w:ascii="Times New Roman" w:hAnsi="Times New Roman" w:eastAsia="方正仿宋简体"/>
          <w:bCs/>
          <w:sz w:val="32"/>
          <w:szCs w:val="32"/>
        </w:rPr>
        <w:t>25</w:t>
      </w:r>
      <w:r>
        <w:rPr>
          <w:rFonts w:hint="eastAsia" w:ascii="Times New Roman" w:hAnsi="Times New Roman" w:eastAsia="方正仿宋简体"/>
          <w:bCs/>
          <w:sz w:val="32"/>
          <w:szCs w:val="32"/>
        </w:rPr>
        <w:t>．井冈山红色资源的保护、开发与利用现状调查</w:t>
      </w:r>
    </w:p>
    <w:p>
      <w:pPr>
        <w:spacing w:line="520" w:lineRule="exact"/>
        <w:ind w:firstLine="640" w:firstLineChars="200"/>
        <w:jc w:val="left"/>
        <w:rPr>
          <w:rFonts w:ascii="Times New Roman" w:hAnsi="Times New Roman" w:eastAsia="方正仿宋简体"/>
          <w:bCs/>
          <w:sz w:val="32"/>
          <w:szCs w:val="32"/>
        </w:rPr>
      </w:pPr>
      <w:r>
        <w:rPr>
          <w:rFonts w:ascii="Times New Roman" w:hAnsi="Times New Roman" w:eastAsia="方正仿宋简体"/>
          <w:bCs/>
          <w:sz w:val="32"/>
          <w:szCs w:val="32"/>
        </w:rPr>
        <w:t>26</w:t>
      </w:r>
      <w:r>
        <w:rPr>
          <w:rFonts w:hint="eastAsia" w:ascii="Times New Roman" w:hAnsi="Times New Roman" w:eastAsia="方正仿宋简体"/>
          <w:bCs/>
          <w:sz w:val="32"/>
          <w:szCs w:val="32"/>
        </w:rPr>
        <w:t>．井冈山革命老区“精准扶贫”情况调查与研究</w:t>
      </w:r>
    </w:p>
    <w:p>
      <w:pPr>
        <w:spacing w:line="520" w:lineRule="exact"/>
        <w:rPr>
          <w:bCs/>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楷体简体">
    <w:altName w:val="宋体"/>
    <w:panose1 w:val="03000509000000000000"/>
    <w:charset w:val="86"/>
    <w:family w:val="script"/>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6C10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2016-05-11T09:21:13Z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2052-10.1.0.5737</vt:lpwstr>
  </property>
</Properties>
</file>